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Harry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R Hamilton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School Supply List for Students Entering Grade 4,  September 2026: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plastic duo-tangs (1 clear, 1 green)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 32-page </w:t>
      </w:r>
      <w:r w:rsidDel="00000000" w:rsidR="00000000" w:rsidRPr="00000000">
        <w:rPr>
          <w:sz w:val="30"/>
          <w:szCs w:val="30"/>
          <w:rtl w:val="0"/>
        </w:rPr>
        <w:t xml:space="preserve">scribblers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Pe</w:t>
      </w:r>
      <w:r w:rsidDel="00000000" w:rsidR="00000000" w:rsidRPr="00000000">
        <w:rPr>
          <w:sz w:val="30"/>
          <w:szCs w:val="30"/>
          <w:rtl w:val="0"/>
        </w:rPr>
        <w:t xml:space="preserve">ncil case or kit box (5” X 8”)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 (not the long box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2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sz w:val="30"/>
          <w:szCs w:val="30"/>
          <w:rtl w:val="0"/>
        </w:rPr>
        <w:t xml:space="preserve">G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lue stic</w:t>
      </w:r>
      <w:r w:rsidDel="00000000" w:rsidR="00000000" w:rsidRPr="00000000">
        <w:rPr>
          <w:sz w:val="30"/>
          <w:szCs w:val="30"/>
          <w:rtl w:val="0"/>
        </w:rPr>
        <w:t xml:space="preserve">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6 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Colour</w:t>
      </w:r>
      <w:r w:rsidDel="00000000" w:rsidR="00000000" w:rsidRPr="00000000">
        <w:rPr>
          <w:sz w:val="30"/>
          <w:szCs w:val="30"/>
          <w:rtl w:val="0"/>
        </w:rPr>
        <w:t xml:space="preserve">ed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 pencils (24 pack)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1 pack of m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arkers</w:t>
      </w:r>
      <w:r w:rsidDel="00000000" w:rsidR="00000000" w:rsidRPr="00000000">
        <w:rPr>
          <w:sz w:val="30"/>
          <w:szCs w:val="30"/>
          <w:rtl w:val="0"/>
        </w:rPr>
        <w:t xml:space="preserve"> - (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thick, no more than</w:t>
      </w:r>
      <w:r w:rsidDel="00000000" w:rsidR="00000000" w:rsidRPr="00000000">
        <w:rPr>
          <w:sz w:val="30"/>
          <w:szCs w:val="30"/>
          <w:rtl w:val="0"/>
        </w:rPr>
        <w:t xml:space="preserve"> 12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different colored highlighters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4 Sharpies: 2 Black and 2 other colors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3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White erasers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36</w:t>
      </w:r>
      <w:r w:rsidDel="00000000" w:rsidR="00000000" w:rsidRPr="00000000">
        <w:rPr>
          <w:sz w:val="30"/>
          <w:szCs w:val="30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Pencils</w:t>
      </w:r>
      <w:r w:rsidDel="00000000" w:rsidR="00000000" w:rsidRPr="00000000">
        <w:rPr>
          <w:sz w:val="30"/>
          <w:szCs w:val="30"/>
          <w:rtl w:val="0"/>
        </w:rPr>
        <w:t xml:space="preserve"> (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not Dollarama brand) (already sharpened please)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1 </w:t>
      </w:r>
      <w:r w:rsidDel="00000000" w:rsidR="00000000" w:rsidRPr="00000000">
        <w:rPr>
          <w:i w:val="0"/>
          <w:iCs w:val="0"/>
          <w:smallCaps w:val="0"/>
          <w:strike w:val="0"/>
          <w:sz w:val="30"/>
          <w:szCs w:val="30"/>
          <w:vertAlign w:val="baseline"/>
          <w:rtl w:val="0"/>
        </w:rPr>
        <w:t xml:space="preserve">handheld pencil sharpener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i w:val="0"/>
          <w:iCs w:val="0"/>
          <w:smallCaps w:val="0"/>
          <w:strike w:val="0"/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2 pocket folders (1 green, 1 red)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 </w:t>
      </w:r>
      <w:r w:rsidDel="00000000" w:rsidR="00000000" w:rsidRPr="00000000">
        <w:rPr>
          <w:sz w:val="30"/>
          <w:szCs w:val="30"/>
          <w:rtl w:val="0"/>
        </w:rPr>
        <w:t xml:space="preserve">80 page spiral scribbler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Indoor sneakers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Headphones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Composition book (Writer’s journal Dollar Store is fine)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Clipboard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 deck of cards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30"/>
          <w:szCs w:val="30"/>
          <w:rtl w:val="0"/>
        </w:rPr>
        <w:t xml:space="preserve">1 pair of scissors</w:t>
      </w:r>
      <w:r w:rsidDel="00000000" w:rsidR="00000000" w:rsidRPr="00000000">
        <w:rPr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Messenger Bag (dollar store)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consider: students find that using a wireless/wired mouse helps when using Chromebooks. </w:t>
      </w:r>
    </w:p>
    <w:p w:rsidR="00000000" w:rsidDel="00000000" w:rsidP="00000000" w:rsidRDefault="00000000" w:rsidRPr="00000000" w14:paraId="0000001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put names on all supplies.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 in the past, teachers may also request a few additional items when classes begin in the fall or in January to replenish items like pencils or lost scissors, rulers, etc. 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Optional but much appreciated: 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 boxes of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ind w:left="0" w:firstLine="0"/>
        <w:rPr>
          <w:sz w:val="28"/>
          <w:szCs w:val="28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ind w:left="0" w:firstLine="0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360" w:left="806.4000000000001" w:right="907.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8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33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